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B0141" w:rsidR="00CB0141" w:rsidP="05027136" w:rsidRDefault="00CB0141" w14:paraId="44254A20" w14:textId="535235E7">
      <w:pPr>
        <w:spacing w:line="257" w:lineRule="auto"/>
        <w:jc w:val="center"/>
      </w:pPr>
      <w:proofErr w:type="spellStart"/>
      <w:r w:rsidRPr="05027136" w:rsidR="05027136">
        <w:rPr>
          <w:rFonts w:ascii="Garamond" w:hAnsi="Garamond" w:eastAsia="Garamond" w:cs="Garamond"/>
          <w:b w:val="1"/>
          <w:bCs w:val="1"/>
          <w:noProof w:val="0"/>
          <w:sz w:val="22"/>
          <w:szCs w:val="22"/>
          <w:lang w:val="hu-HU"/>
        </w:rPr>
        <w:t>Syllabus</w:t>
      </w:r>
      <w:proofErr w:type="spellEnd"/>
      <w:proofErr w:type="spellStart"/>
      <w:proofErr w:type="spellEnd"/>
      <w:proofErr w:type="spellStart"/>
      <w:proofErr w:type="spellEnd"/>
    </w:p>
    <w:p w:rsidRPr="00CB0141" w:rsidR="00CB0141" w:rsidP="05027136" w:rsidRDefault="00CB0141" w14:paraId="6BDD89A2" w14:textId="0260EB13">
      <w:pPr>
        <w:spacing w:line="257" w:lineRule="auto"/>
        <w:jc w:val="center"/>
      </w:pPr>
      <w:proofErr w:type="spellStart"/>
      <w:r w:rsidRPr="05027136" w:rsidR="05027136">
        <w:rPr>
          <w:rFonts w:ascii="Garamond" w:hAnsi="Garamond" w:eastAsia="Garamond" w:cs="Garamond"/>
          <w:b w:val="1"/>
          <w:bCs w:val="1"/>
          <w:noProof w:val="0"/>
          <w:sz w:val="22"/>
          <w:szCs w:val="22"/>
          <w:lang w:val="hu-HU"/>
        </w:rPr>
        <w:t>Subject</w:t>
      </w:r>
      <w:proofErr w:type="spellEnd"/>
      <w:r w:rsidRPr="05027136" w:rsidR="05027136">
        <w:rPr>
          <w:rFonts w:ascii="Garamond" w:hAnsi="Garamond" w:eastAsia="Garamond" w:cs="Garamond"/>
          <w:b w:val="1"/>
          <w:bCs w:val="1"/>
          <w:noProof w:val="0"/>
          <w:sz w:val="22"/>
          <w:szCs w:val="22"/>
          <w:lang w:val="hu-HU"/>
        </w:rPr>
        <w:t xml:space="preserve"> </w:t>
      </w:r>
      <w:proofErr w:type="spellStart"/>
      <w:r w:rsidRPr="05027136" w:rsidR="05027136">
        <w:rPr>
          <w:rFonts w:ascii="Garamond" w:hAnsi="Garamond" w:eastAsia="Garamond" w:cs="Garamond"/>
          <w:b w:val="1"/>
          <w:bCs w:val="1"/>
          <w:noProof w:val="0"/>
          <w:sz w:val="22"/>
          <w:szCs w:val="22"/>
          <w:lang w:val="hu-HU"/>
        </w:rPr>
        <w:t>code</w:t>
      </w:r>
      <w:proofErr w:type="spellEnd"/>
      <w:r w:rsidRPr="05027136" w:rsidR="05027136">
        <w:rPr>
          <w:rFonts w:ascii="Garamond" w:hAnsi="Garamond" w:eastAsia="Garamond" w:cs="Garamond"/>
          <w:b w:val="1"/>
          <w:bCs w:val="1"/>
          <w:noProof w:val="0"/>
          <w:sz w:val="22"/>
          <w:szCs w:val="22"/>
          <w:lang w:val="hu-HU"/>
        </w:rPr>
        <w:t xml:space="preserve">: </w:t>
      </w:r>
      <w:r w:rsidRPr="05027136" w:rsidR="05027136">
        <w:rPr>
          <w:rFonts w:ascii="Garamond" w:hAnsi="Garamond" w:eastAsia="Garamond" w:cs="Garamond"/>
          <w:noProof w:val="0"/>
          <w:sz w:val="22"/>
          <w:szCs w:val="22"/>
          <w:lang w:val="hu-HU"/>
        </w:rPr>
        <w:t>HRCM21-130</w:t>
      </w:r>
    </w:p>
    <w:p w:rsidRPr="00CB0141" w:rsidR="00CB0141" w:rsidP="05027136" w:rsidRDefault="00CB0141" w14:paraId="778636C9" w14:textId="4EA66FAA">
      <w:pPr>
        <w:pStyle w:val="Norml"/>
        <w:jc w:val="center"/>
        <w:rPr>
          <w:rFonts w:ascii="Times New Roman" w:hAnsi="Times New Roman" w:cs="Times New Roman"/>
          <w:b w:val="1"/>
          <w:bCs w:val="1"/>
        </w:rPr>
      </w:pPr>
      <w:proofErr w:type="spellStart"/>
      <w:r w:rsidRPr="05027136" w:rsidR="05027136">
        <w:rPr>
          <w:rFonts w:ascii="Garamond" w:hAnsi="Garamond" w:eastAsia="Garamond" w:cs="Garamond"/>
          <w:b w:val="1"/>
          <w:bCs w:val="1"/>
          <w:noProof w:val="0"/>
          <w:sz w:val="22"/>
          <w:szCs w:val="22"/>
          <w:lang w:val="hu-HU"/>
        </w:rPr>
        <w:t>Subject</w:t>
      </w:r>
      <w:proofErr w:type="spellEnd"/>
      <w:r w:rsidRPr="05027136" w:rsidR="05027136">
        <w:rPr>
          <w:rFonts w:ascii="Garamond" w:hAnsi="Garamond" w:eastAsia="Garamond" w:cs="Garamond"/>
          <w:b w:val="1"/>
          <w:bCs w:val="1"/>
          <w:noProof w:val="0"/>
          <w:sz w:val="22"/>
          <w:szCs w:val="22"/>
          <w:lang w:val="hu-HU"/>
        </w:rPr>
        <w:t xml:space="preserve"> </w:t>
      </w:r>
      <w:proofErr w:type="spellStart"/>
      <w:r w:rsidRPr="05027136" w:rsidR="05027136">
        <w:rPr>
          <w:rFonts w:ascii="Garamond" w:hAnsi="Garamond" w:eastAsia="Garamond" w:cs="Garamond"/>
          <w:b w:val="1"/>
          <w:bCs w:val="1"/>
          <w:noProof w:val="0"/>
          <w:sz w:val="22"/>
          <w:szCs w:val="22"/>
          <w:lang w:val="hu-HU"/>
        </w:rPr>
        <w:t>name</w:t>
      </w:r>
      <w:proofErr w:type="spellEnd"/>
      <w:r w:rsidRPr="05027136" w:rsidR="05027136">
        <w:rPr>
          <w:rFonts w:ascii="Garamond" w:hAnsi="Garamond" w:eastAsia="Garamond" w:cs="Garamond"/>
          <w:b w:val="1"/>
          <w:bCs w:val="1"/>
          <w:noProof w:val="0"/>
          <w:sz w:val="22"/>
          <w:szCs w:val="22"/>
          <w:lang w:val="hu-HU"/>
        </w:rPr>
        <w:t>:</w:t>
      </w:r>
      <w:r w:rsidRPr="05027136" w:rsidR="05027136">
        <w:rPr>
          <w:rFonts w:ascii="Garamond" w:hAnsi="Garamond" w:eastAsia="Garamond" w:cs="Garamond"/>
          <w:noProof w:val="0"/>
          <w:sz w:val="22"/>
          <w:szCs w:val="22"/>
          <w:lang w:val="hu-HU"/>
        </w:rPr>
        <w:t xml:space="preserve"> </w:t>
      </w:r>
      <w:proofErr w:type="spellStart"/>
      <w:r w:rsidRPr="05027136" w:rsidR="00CB0141">
        <w:rPr>
          <w:rFonts w:ascii="Times New Roman" w:hAnsi="Times New Roman" w:cs="Times New Roman"/>
          <w:b w:val="0"/>
          <w:bCs w:val="0"/>
        </w:rPr>
        <w:t>Methods</w:t>
      </w:r>
      <w:proofErr w:type="spellEnd"/>
      <w:r w:rsidRPr="05027136" w:rsidR="00CB0141">
        <w:rPr>
          <w:rFonts w:ascii="Times New Roman" w:hAnsi="Times New Roman" w:cs="Times New Roman"/>
          <w:b w:val="0"/>
          <w:bCs w:val="0"/>
        </w:rPr>
        <w:t xml:space="preserve"> and </w:t>
      </w:r>
      <w:proofErr w:type="spellStart"/>
      <w:r w:rsidRPr="05027136" w:rsidR="00CB0141">
        <w:rPr>
          <w:rFonts w:ascii="Times New Roman" w:hAnsi="Times New Roman" w:cs="Times New Roman"/>
          <w:b w:val="0"/>
          <w:bCs w:val="0"/>
        </w:rPr>
        <w:t>Techniques</w:t>
      </w:r>
      <w:proofErr w:type="spellEnd"/>
      <w:r w:rsidRPr="05027136" w:rsidR="00CB0141">
        <w:rPr>
          <w:rFonts w:ascii="Times New Roman" w:hAnsi="Times New Roman" w:cs="Times New Roman"/>
          <w:b w:val="0"/>
          <w:bCs w:val="0"/>
        </w:rPr>
        <w:t xml:space="preserve"> of </w:t>
      </w:r>
      <w:proofErr w:type="spellStart"/>
      <w:r w:rsidRPr="05027136" w:rsidR="00CB0141">
        <w:rPr>
          <w:rFonts w:ascii="Times New Roman" w:hAnsi="Times New Roman" w:cs="Times New Roman"/>
          <w:b w:val="0"/>
          <w:bCs w:val="0"/>
        </w:rPr>
        <w:t>Counselling</w:t>
      </w:r>
      <w:proofErr w:type="spellEnd"/>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78"/>
        <w:gridCol w:w="2176"/>
      </w:tblGrid>
      <w:tr w:rsidRPr="00C618B3" w:rsidR="00CB0141" w:rsidTr="05027136" w14:paraId="4828AF0D" w14:textId="77777777">
        <w:tc>
          <w:tcPr>
            <w:tcW w:w="6778" w:type="dxa"/>
            <w:shd w:val="clear" w:color="auto" w:fill="auto"/>
            <w:tcMar>
              <w:top w:w="57" w:type="dxa"/>
              <w:bottom w:w="57" w:type="dxa"/>
            </w:tcMar>
          </w:tcPr>
          <w:p w:rsidRPr="00C618B3" w:rsidR="00CB0141" w:rsidP="05027136" w:rsidRDefault="00CB0141" w14:paraId="6BACF2B9" w14:textId="050D5AA8">
            <w:pPr>
              <w:spacing w:after="0" w:line="240" w:lineRule="auto"/>
              <w:jc w:val="both"/>
              <w:rPr>
                <w:rFonts w:ascii="Garamond" w:hAnsi="Garamond" w:eastAsia="Times New Roman" w:cs="Times New Roman"/>
                <w:b w:val="1"/>
                <w:bCs w:val="1"/>
                <w:sz w:val="24"/>
                <w:szCs w:val="24"/>
                <w:lang w:val="en-GB" w:eastAsia="hu-HU"/>
              </w:rPr>
            </w:pPr>
            <w:r w:rsidRPr="05027136" w:rsidR="00CB0141">
              <w:rPr>
                <w:rFonts w:ascii="Garamond" w:hAnsi="Garamond" w:eastAsia="Times New Roman" w:cs="Times New Roman"/>
                <w:b w:val="1"/>
                <w:bCs w:val="1"/>
                <w:sz w:val="24"/>
                <w:szCs w:val="24"/>
                <w:lang w:val="en-GB" w:eastAsia="hu-HU"/>
              </w:rPr>
              <w:t>Methods and Techniques of Counselling</w:t>
            </w:r>
          </w:p>
        </w:tc>
        <w:tc>
          <w:tcPr>
            <w:tcW w:w="2176" w:type="dxa"/>
            <w:shd w:val="clear" w:color="auto" w:fill="auto"/>
            <w:tcMar>
              <w:top w:w="57" w:type="dxa"/>
              <w:bottom w:w="57" w:type="dxa"/>
            </w:tcMar>
          </w:tcPr>
          <w:p w:rsidRPr="00C618B3" w:rsidR="00CB0141" w:rsidP="009E3D7D" w:rsidRDefault="00CB0141" w14:paraId="64E88AFB" w14:textId="77777777">
            <w:pPr>
              <w:spacing w:before="60" w:after="0" w:line="240" w:lineRule="auto"/>
              <w:jc w:val="both"/>
              <w:rPr>
                <w:rFonts w:ascii="Garamond" w:hAnsi="Garamond" w:eastAsia="Times New Roman" w:cs="Times New Roman"/>
                <w:b/>
                <w:sz w:val="24"/>
                <w:szCs w:val="24"/>
                <w:lang w:val="en-GB" w:eastAsia="hu-HU"/>
              </w:rPr>
            </w:pPr>
            <w:r w:rsidRPr="00C618B3">
              <w:rPr>
                <w:rFonts w:ascii="Garamond" w:hAnsi="Garamond" w:eastAsia="Times New Roman" w:cs="Times New Roman"/>
                <w:b/>
                <w:sz w:val="24"/>
                <w:szCs w:val="24"/>
                <w:lang w:val="en-GB" w:eastAsia="hu-HU"/>
              </w:rPr>
              <w:t>Credits: 2 ECTS</w:t>
            </w:r>
          </w:p>
        </w:tc>
      </w:tr>
      <w:tr w:rsidRPr="00C618B3" w:rsidR="00CB0141" w:rsidTr="05027136" w14:paraId="6505BC70" w14:textId="77777777">
        <w:tc>
          <w:tcPr>
            <w:tcW w:w="8954" w:type="dxa"/>
            <w:gridSpan w:val="2"/>
            <w:shd w:val="clear" w:color="auto" w:fill="auto"/>
            <w:tcMar>
              <w:top w:w="57" w:type="dxa"/>
              <w:bottom w:w="57" w:type="dxa"/>
            </w:tcMar>
          </w:tcPr>
          <w:p w:rsidRPr="00C618B3" w:rsidR="00CB0141" w:rsidP="009E3D7D" w:rsidRDefault="00CB0141" w14:paraId="5BD066D4" w14:textId="77777777">
            <w:pPr>
              <w:spacing w:before="60" w:after="0" w:line="240" w:lineRule="auto"/>
              <w:jc w:val="both"/>
              <w:rPr>
                <w:rFonts w:ascii="Garamond" w:hAnsi="Garamond" w:eastAsia="Times New Roman" w:cs="Times New Roman"/>
                <w:sz w:val="24"/>
                <w:szCs w:val="24"/>
                <w:lang w:val="en-GB" w:eastAsia="hu-HU"/>
              </w:rPr>
            </w:pPr>
            <w:r w:rsidRPr="00C618B3">
              <w:rPr>
                <w:rFonts w:ascii="Garamond" w:hAnsi="Garamond" w:eastAsia="Times New Roman" w:cs="Times New Roman"/>
                <w:sz w:val="24"/>
                <w:szCs w:val="24"/>
                <w:lang w:val="en-GB" w:eastAsia="hu-HU"/>
              </w:rPr>
              <w:t xml:space="preserve">Type of the course: </w:t>
            </w:r>
            <w:r w:rsidRPr="00C618B3">
              <w:rPr>
                <w:rFonts w:ascii="Garamond" w:hAnsi="Garamond" w:eastAsia="Times New Roman" w:cs="Times New Roman"/>
                <w:b/>
                <w:sz w:val="24"/>
                <w:szCs w:val="24"/>
                <w:lang w:val="en-GB" w:eastAsia="hu-HU"/>
              </w:rPr>
              <w:t>seminar</w:t>
            </w:r>
            <w:r w:rsidRPr="00C618B3">
              <w:rPr>
                <w:rFonts w:ascii="Garamond" w:hAnsi="Garamond" w:eastAsia="Times New Roman" w:cs="Times New Roman"/>
                <w:sz w:val="24"/>
                <w:szCs w:val="24"/>
                <w:lang w:val="en-GB" w:eastAsia="hu-HU"/>
              </w:rPr>
              <w:t xml:space="preserve"> – </w:t>
            </w:r>
            <w:r w:rsidRPr="00C618B3">
              <w:rPr>
                <w:rFonts w:ascii="Garamond" w:hAnsi="Garamond" w:eastAsia="Times New Roman" w:cs="Times New Roman"/>
                <w:b/>
                <w:sz w:val="24"/>
                <w:szCs w:val="24"/>
                <w:lang w:val="en-GB" w:eastAsia="hu-HU"/>
              </w:rPr>
              <w:t>30 contact hours</w:t>
            </w:r>
          </w:p>
        </w:tc>
      </w:tr>
      <w:tr w:rsidRPr="00C618B3" w:rsidR="00CB0141" w:rsidTr="05027136" w14:paraId="2F81FD15" w14:textId="77777777">
        <w:tc>
          <w:tcPr>
            <w:tcW w:w="8954" w:type="dxa"/>
            <w:gridSpan w:val="2"/>
            <w:shd w:val="clear" w:color="auto" w:fill="auto"/>
            <w:tcMar>
              <w:top w:w="57" w:type="dxa"/>
              <w:bottom w:w="57" w:type="dxa"/>
            </w:tcMar>
          </w:tcPr>
          <w:p w:rsidRPr="00C618B3" w:rsidR="00CB0141" w:rsidP="009E3D7D" w:rsidRDefault="00CB0141" w14:paraId="281B0455" w14:textId="77777777">
            <w:pPr>
              <w:spacing w:before="60" w:after="0" w:line="240" w:lineRule="auto"/>
              <w:jc w:val="both"/>
              <w:rPr>
                <w:rFonts w:ascii="Garamond" w:hAnsi="Garamond" w:eastAsia="Times New Roman" w:cs="Times New Roman"/>
                <w:b/>
                <w:sz w:val="24"/>
                <w:szCs w:val="24"/>
                <w:lang w:val="en-GB" w:eastAsia="hu-HU"/>
              </w:rPr>
            </w:pPr>
            <w:r w:rsidRPr="00C618B3">
              <w:rPr>
                <w:rFonts w:ascii="Garamond" w:hAnsi="Garamond" w:eastAsia="Times New Roman" w:cs="Times New Roman"/>
                <w:sz w:val="24"/>
                <w:szCs w:val="24"/>
                <w:lang w:val="en-GB" w:eastAsia="hu-HU"/>
              </w:rPr>
              <w:t xml:space="preserve">Type of the evaluation: </w:t>
            </w:r>
            <w:r w:rsidRPr="00C618B3">
              <w:rPr>
                <w:rFonts w:ascii="Garamond" w:hAnsi="Garamond" w:eastAsia="Times New Roman" w:cs="Times New Roman"/>
                <w:b/>
                <w:sz w:val="24"/>
                <w:szCs w:val="24"/>
                <w:lang w:val="en-GB" w:eastAsia="hu-HU"/>
              </w:rPr>
              <w:t>practice mark</w:t>
            </w:r>
          </w:p>
        </w:tc>
      </w:tr>
      <w:tr w:rsidRPr="00C618B3" w:rsidR="00CB0141" w:rsidTr="05027136" w14:paraId="5611873E" w14:textId="77777777">
        <w:tc>
          <w:tcPr>
            <w:tcW w:w="8954" w:type="dxa"/>
            <w:gridSpan w:val="2"/>
            <w:shd w:val="clear" w:color="auto" w:fill="auto"/>
            <w:tcMar>
              <w:top w:w="57" w:type="dxa"/>
              <w:bottom w:w="57" w:type="dxa"/>
            </w:tcMar>
          </w:tcPr>
          <w:p w:rsidRPr="00C618B3" w:rsidR="00CB0141" w:rsidP="009E3D7D" w:rsidRDefault="00CB0141" w14:paraId="28D6DE0E" w14:textId="41BDA8AE">
            <w:pPr>
              <w:spacing w:after="0" w:line="240" w:lineRule="auto"/>
              <w:jc w:val="both"/>
              <w:rPr>
                <w:rFonts w:ascii="Garamond" w:hAnsi="Garamond" w:eastAsia="Times New Roman" w:cs="Times New Roman"/>
                <w:sz w:val="24"/>
                <w:szCs w:val="24"/>
                <w:lang w:val="en-GB" w:eastAsia="hu-HU"/>
              </w:rPr>
            </w:pPr>
            <w:r w:rsidRPr="05027136" w:rsidR="00CB0141">
              <w:rPr>
                <w:rFonts w:ascii="Garamond" w:hAnsi="Garamond" w:eastAsia="Times New Roman" w:cs="Times New Roman"/>
                <w:sz w:val="24"/>
                <w:szCs w:val="24"/>
                <w:lang w:val="en-GB" w:eastAsia="hu-HU"/>
              </w:rPr>
              <w:t xml:space="preserve">Place in curriculum: </w:t>
            </w:r>
            <w:r w:rsidRPr="05027136" w:rsidR="00CB0141">
              <w:rPr>
                <w:rFonts w:ascii="Garamond" w:hAnsi="Garamond" w:eastAsia="Times New Roman" w:cs="Times New Roman"/>
                <w:b w:val="1"/>
                <w:bCs w:val="1"/>
                <w:sz w:val="24"/>
                <w:szCs w:val="24"/>
                <w:lang w:val="en-GB" w:eastAsia="hu-HU"/>
              </w:rPr>
              <w:t>4th</w:t>
            </w:r>
            <w:r w:rsidRPr="05027136" w:rsidR="00CB0141">
              <w:rPr>
                <w:rFonts w:ascii="Garamond" w:hAnsi="Garamond" w:eastAsia="Times New Roman" w:cs="Times New Roman"/>
                <w:b w:val="1"/>
                <w:bCs w:val="1"/>
                <w:sz w:val="24"/>
                <w:szCs w:val="24"/>
                <w:lang w:val="en-GB" w:eastAsia="hu-HU"/>
              </w:rPr>
              <w:t xml:space="preserve"> semester</w:t>
            </w:r>
          </w:p>
        </w:tc>
      </w:tr>
      <w:tr w:rsidRPr="00C618B3" w:rsidR="00CB0141" w:rsidTr="05027136" w14:paraId="7875F9C2" w14:textId="77777777">
        <w:tc>
          <w:tcPr>
            <w:tcW w:w="8954" w:type="dxa"/>
            <w:gridSpan w:val="2"/>
            <w:shd w:val="clear" w:color="auto" w:fill="auto"/>
            <w:tcMar>
              <w:top w:w="57" w:type="dxa"/>
              <w:bottom w:w="57" w:type="dxa"/>
            </w:tcMar>
          </w:tcPr>
          <w:p w:rsidRPr="00C618B3" w:rsidR="00CB0141" w:rsidP="05027136" w:rsidRDefault="00CB0141" w14:paraId="797E2C4A" w14:textId="287C05E4">
            <w:pPr>
              <w:pStyle w:val="Norml"/>
              <w:spacing w:after="0" w:line="240" w:lineRule="auto"/>
              <w:jc w:val="both"/>
              <w:rPr>
                <w:rFonts w:ascii="Garamond" w:hAnsi="Garamond" w:eastAsia="Times New Roman" w:cs="Times New Roman"/>
                <w:b w:val="1"/>
                <w:bCs w:val="1"/>
                <w:sz w:val="24"/>
                <w:szCs w:val="24"/>
                <w:lang w:val="en-GB" w:eastAsia="hu-HU"/>
              </w:rPr>
            </w:pPr>
            <w:r w:rsidRPr="05027136" w:rsidR="00CB0141">
              <w:rPr>
                <w:rFonts w:ascii="Garamond" w:hAnsi="Garamond" w:eastAsia="Times New Roman" w:cs="Times New Roman"/>
                <w:sz w:val="24"/>
                <w:szCs w:val="24"/>
                <w:lang w:val="en-GB" w:eastAsia="hu-HU"/>
              </w:rPr>
              <w:t xml:space="preserve">Prerequisites </w:t>
            </w:r>
            <w:r w:rsidRPr="05027136" w:rsidR="00CB0141">
              <w:rPr>
                <w:rFonts w:ascii="Garamond" w:hAnsi="Garamond" w:eastAsia="Times New Roman" w:cs="Times New Roman"/>
                <w:i w:val="1"/>
                <w:iCs w:val="1"/>
                <w:sz w:val="24"/>
                <w:szCs w:val="24"/>
                <w:lang w:val="en-GB" w:eastAsia="hu-HU"/>
              </w:rPr>
              <w:t>(if any)</w:t>
            </w:r>
            <w:r w:rsidRPr="05027136" w:rsidR="00CB0141">
              <w:rPr>
                <w:rFonts w:ascii="Garamond" w:hAnsi="Garamond" w:eastAsia="Times New Roman" w:cs="Times New Roman"/>
                <w:sz w:val="24"/>
                <w:szCs w:val="24"/>
                <w:lang w:val="en-GB" w:eastAsia="hu-HU"/>
              </w:rPr>
              <w:t>:</w:t>
            </w:r>
            <w:r w:rsidRPr="05027136" w:rsidR="00CB0141">
              <w:rPr>
                <w:rFonts w:ascii="Garamond" w:hAnsi="Garamond" w:eastAsia="Times New Roman" w:cs="Times New Roman"/>
                <w:i w:val="1"/>
                <w:iCs w:val="1"/>
                <w:sz w:val="24"/>
                <w:szCs w:val="24"/>
                <w:lang w:val="en-GB" w:eastAsia="hu-HU"/>
              </w:rPr>
              <w:t xml:space="preserve"> </w:t>
            </w:r>
            <w:r w:rsidRPr="05027136" w:rsidR="05027136">
              <w:rPr>
                <w:rFonts w:ascii="Garamond" w:hAnsi="Garamond" w:eastAsia="Times New Roman" w:cs="Times New Roman"/>
                <w:b w:val="1"/>
                <w:bCs w:val="1"/>
                <w:i w:val="0"/>
                <w:iCs w:val="0"/>
                <w:sz w:val="24"/>
                <w:szCs w:val="24"/>
                <w:lang w:val="en-GB" w:eastAsia="hu-HU"/>
              </w:rPr>
              <w:t>The Practice of Counselling</w:t>
            </w:r>
          </w:p>
        </w:tc>
      </w:tr>
      <w:tr w:rsidRPr="00C618B3" w:rsidR="00CB0141" w:rsidTr="05027136" w14:paraId="2915D80D" w14:textId="77777777">
        <w:tc>
          <w:tcPr>
            <w:tcW w:w="8954" w:type="dxa"/>
            <w:gridSpan w:val="2"/>
            <w:shd w:val="clear" w:color="auto" w:fill="auto"/>
            <w:tcMar>
              <w:top w:w="57" w:type="dxa"/>
              <w:bottom w:w="57" w:type="dxa"/>
            </w:tcMar>
          </w:tcPr>
          <w:p w:rsidRPr="00C618B3" w:rsidR="00CB0141" w:rsidP="009E3D7D" w:rsidRDefault="00CB0141" w14:paraId="60FB7073" w14:textId="77777777">
            <w:pPr>
              <w:spacing w:before="60" w:after="0" w:line="240" w:lineRule="auto"/>
              <w:jc w:val="both"/>
              <w:rPr>
                <w:rFonts w:ascii="Garamond" w:hAnsi="Garamond" w:eastAsia="Times New Roman" w:cs="Times New Roman"/>
                <w:b/>
                <w:sz w:val="24"/>
                <w:szCs w:val="24"/>
                <w:lang w:val="en-GB" w:eastAsia="hu-HU"/>
              </w:rPr>
            </w:pPr>
            <w:r w:rsidRPr="00C618B3">
              <w:rPr>
                <w:rFonts w:ascii="Garamond" w:hAnsi="Garamond" w:eastAsia="Times New Roman" w:cs="Times New Roman"/>
                <w:b/>
                <w:sz w:val="24"/>
                <w:szCs w:val="24"/>
                <w:lang w:val="en-GB" w:eastAsia="hu-HU"/>
              </w:rPr>
              <w:t>Course description</w:t>
            </w:r>
            <w:r w:rsidRPr="00C618B3">
              <w:rPr>
                <w:rFonts w:ascii="Garamond" w:hAnsi="Garamond" w:eastAsia="Times New Roman" w:cs="Times New Roman"/>
                <w:sz w:val="24"/>
                <w:szCs w:val="24"/>
                <w:lang w:val="en-GB" w:eastAsia="hu-HU"/>
              </w:rPr>
              <w:t>: Please, provide a short, informative description of knowledge to obtain and competences to achieve, and a short (6-10 lines) summary of the aims and content of the course, followed by the 10-15 topics covered.</w:t>
            </w:r>
          </w:p>
        </w:tc>
      </w:tr>
      <w:tr w:rsidRPr="00C618B3" w:rsidR="00CB0141" w:rsidTr="05027136" w14:paraId="1EEC2B77" w14:textId="77777777">
        <w:tc>
          <w:tcPr>
            <w:tcW w:w="8954" w:type="dxa"/>
            <w:gridSpan w:val="2"/>
            <w:shd w:val="clear" w:color="auto" w:fill="auto"/>
            <w:tcMar>
              <w:top w:w="57" w:type="dxa"/>
              <w:bottom w:w="57" w:type="dxa"/>
            </w:tcMar>
          </w:tcPr>
          <w:p w:rsidRPr="00C618B3" w:rsidR="00CB0141" w:rsidP="009E3D7D" w:rsidRDefault="00CB0141" w14:paraId="460E3042" w14:textId="77777777">
            <w:pPr>
              <w:tabs>
                <w:tab w:val="left" w:pos="34"/>
              </w:tabs>
              <w:spacing w:after="0" w:line="240" w:lineRule="auto"/>
              <w:jc w:val="both"/>
              <w:rPr>
                <w:rFonts w:ascii="Garamond" w:hAnsi="Garamond" w:eastAsia="Times New Roman" w:cs="Times New Roman"/>
                <w:sz w:val="24"/>
                <w:szCs w:val="24"/>
                <w:lang w:val="en-GB" w:eastAsia="hu-HU"/>
              </w:rPr>
            </w:pPr>
            <w:r w:rsidRPr="00C618B3">
              <w:rPr>
                <w:rFonts w:ascii="Garamond" w:hAnsi="Garamond" w:eastAsia="Times New Roman" w:cs="Times New Roman"/>
                <w:sz w:val="24"/>
                <w:szCs w:val="24"/>
                <w:lang w:val="en-GB" w:eastAsia="hu-HU"/>
              </w:rPr>
              <w:t xml:space="preserve">Psychological counselling is designed to help reveal those circumstances that arise from the personality, lifestyle and personality disorder and could hinder the work of the client. Another aim of the counsellor is to support the client in the treatment of emotional difficulties, to prevent, manage and resolve those personal problems that hinder access to employment, to facilitate the creating of realistic self-evaluation and also the focusing on personal resources to find a better employment. Professional and focused conversation is the main instrument of the counsellor including other </w:t>
            </w:r>
            <w:proofErr w:type="spellStart"/>
            <w:r w:rsidRPr="00C618B3">
              <w:rPr>
                <w:rFonts w:ascii="Garamond" w:hAnsi="Garamond" w:eastAsia="Times New Roman" w:cs="Times New Roman"/>
                <w:sz w:val="24"/>
                <w:szCs w:val="24"/>
                <w:lang w:val="en-GB" w:eastAsia="hu-HU"/>
              </w:rPr>
              <w:t>pscyhological</w:t>
            </w:r>
            <w:proofErr w:type="spellEnd"/>
            <w:r w:rsidRPr="00C618B3">
              <w:rPr>
                <w:rFonts w:ascii="Garamond" w:hAnsi="Garamond" w:eastAsia="Times New Roman" w:cs="Times New Roman"/>
                <w:sz w:val="24"/>
                <w:szCs w:val="24"/>
                <w:lang w:val="en-GB" w:eastAsia="hu-HU"/>
              </w:rPr>
              <w:t xml:space="preserve"> tools with diagnostic purpose. </w:t>
            </w:r>
          </w:p>
          <w:p w:rsidRPr="00C618B3" w:rsidR="00CB0141" w:rsidP="009E3D7D" w:rsidRDefault="00CB0141" w14:paraId="295E1D09" w14:textId="77777777">
            <w:pPr>
              <w:tabs>
                <w:tab w:val="left" w:pos="34"/>
              </w:tabs>
              <w:spacing w:after="0" w:line="240" w:lineRule="auto"/>
              <w:jc w:val="both"/>
              <w:rPr>
                <w:rFonts w:ascii="Garamond" w:hAnsi="Garamond" w:eastAsia="Times New Roman" w:cs="Times New Roman"/>
                <w:sz w:val="24"/>
                <w:szCs w:val="24"/>
                <w:lang w:val="en-GB" w:eastAsia="hu-HU"/>
              </w:rPr>
            </w:pPr>
            <w:r w:rsidRPr="00C618B3">
              <w:rPr>
                <w:rFonts w:ascii="Garamond" w:hAnsi="Garamond" w:eastAsia="Times New Roman" w:cs="Times New Roman"/>
                <w:sz w:val="24"/>
                <w:szCs w:val="24"/>
                <w:lang w:val="en-GB" w:eastAsia="hu-HU"/>
              </w:rPr>
              <w:t xml:space="preserve">The conversation’s design, direction and steps are defined by the counsellor, based on the results of the diagnostic </w:t>
            </w:r>
            <w:proofErr w:type="gramStart"/>
            <w:r w:rsidRPr="00C618B3">
              <w:rPr>
                <w:rFonts w:ascii="Garamond" w:hAnsi="Garamond" w:eastAsia="Times New Roman" w:cs="Times New Roman"/>
                <w:sz w:val="24"/>
                <w:szCs w:val="24"/>
                <w:lang w:val="en-GB" w:eastAsia="hu-HU"/>
              </w:rPr>
              <w:t>assessment</w:t>
            </w:r>
            <w:proofErr w:type="gramEnd"/>
            <w:r w:rsidRPr="00C618B3">
              <w:rPr>
                <w:rFonts w:ascii="Garamond" w:hAnsi="Garamond" w:eastAsia="Times New Roman" w:cs="Times New Roman"/>
                <w:sz w:val="24"/>
                <w:szCs w:val="24"/>
                <w:lang w:val="en-GB" w:eastAsia="hu-HU"/>
              </w:rPr>
              <w:t xml:space="preserve"> and based on what the client undertakes in the contract. </w:t>
            </w:r>
            <w:proofErr w:type="gramStart"/>
            <w:r w:rsidRPr="00C618B3">
              <w:rPr>
                <w:rFonts w:ascii="Garamond" w:hAnsi="Garamond" w:eastAsia="Times New Roman" w:cs="Times New Roman"/>
                <w:sz w:val="24"/>
                <w:szCs w:val="24"/>
                <w:lang w:val="en-GB" w:eastAsia="hu-HU"/>
              </w:rPr>
              <w:t>Than</w:t>
            </w:r>
            <w:proofErr w:type="gramEnd"/>
            <w:r w:rsidRPr="00C618B3">
              <w:rPr>
                <w:rFonts w:ascii="Garamond" w:hAnsi="Garamond" w:eastAsia="Times New Roman" w:cs="Times New Roman"/>
                <w:sz w:val="24"/>
                <w:szCs w:val="24"/>
                <w:lang w:val="en-GB" w:eastAsia="hu-HU"/>
              </w:rPr>
              <w:t xml:space="preserve"> the consultant selects the method of intervention, the direction of change which will be hold through the process.  The consultant decides not only which way to move, but also when, how and in what order. The consultation builds on open communication. The open communication helps to ensure that the client takes equal part in the implementation of change.</w:t>
            </w:r>
          </w:p>
          <w:p w:rsidRPr="00C618B3" w:rsidR="00CB0141" w:rsidP="009E3D7D" w:rsidRDefault="00CB0141" w14:paraId="1A8C9992" w14:textId="77777777">
            <w:pPr>
              <w:spacing w:after="0" w:line="240" w:lineRule="auto"/>
              <w:rPr>
                <w:rFonts w:ascii="Garamond" w:hAnsi="Garamond" w:eastAsia="Times New Roman" w:cs="Times New Roman"/>
                <w:sz w:val="24"/>
                <w:szCs w:val="24"/>
                <w:lang w:val="en-GB" w:eastAsia="hu-HU"/>
              </w:rPr>
            </w:pPr>
            <w:r w:rsidRPr="00C618B3">
              <w:rPr>
                <w:rFonts w:ascii="Garamond" w:hAnsi="Garamond" w:eastAsia="Times New Roman" w:cs="Times New Roman"/>
                <w:sz w:val="24"/>
                <w:szCs w:val="24"/>
                <w:lang w:val="en-GB" w:eastAsia="hu-HU"/>
              </w:rPr>
              <w:t xml:space="preserve">The student at the end of the course will be able to use different assessment strategies in appraising client concerns, to formulate points for interventions and to manage the consultation process. </w:t>
            </w:r>
          </w:p>
        </w:tc>
      </w:tr>
      <w:tr w:rsidRPr="00C618B3" w:rsidR="00CB0141" w:rsidTr="05027136" w14:paraId="388A5AAC" w14:textId="77777777">
        <w:tc>
          <w:tcPr>
            <w:tcW w:w="8954" w:type="dxa"/>
            <w:gridSpan w:val="2"/>
            <w:shd w:val="clear" w:color="auto" w:fill="auto"/>
            <w:tcMar>
              <w:top w:w="57" w:type="dxa"/>
              <w:bottom w:w="57" w:type="dxa"/>
            </w:tcMar>
            <w:vAlign w:val="center"/>
          </w:tcPr>
          <w:p w:rsidRPr="00C618B3" w:rsidR="00CB0141" w:rsidP="009E3D7D" w:rsidRDefault="00CB0141" w14:paraId="654C3B43" w14:textId="77777777">
            <w:pPr>
              <w:spacing w:after="0" w:line="240" w:lineRule="auto"/>
              <w:jc w:val="both"/>
              <w:rPr>
                <w:rFonts w:ascii="Garamond" w:hAnsi="Garamond" w:eastAsia="Times New Roman" w:cs="Times New Roman"/>
                <w:b/>
                <w:sz w:val="24"/>
                <w:szCs w:val="24"/>
                <w:lang w:val="en-GB" w:eastAsia="hu-HU"/>
              </w:rPr>
            </w:pPr>
            <w:r w:rsidRPr="00C618B3">
              <w:rPr>
                <w:rFonts w:ascii="Garamond" w:hAnsi="Garamond" w:eastAsia="Times New Roman" w:cs="Times New Roman"/>
                <w:sz w:val="24"/>
                <w:szCs w:val="24"/>
                <w:lang w:val="en-GB" w:eastAsia="hu-HU"/>
              </w:rPr>
              <w:t>3-5 most important required and suggested readings (</w:t>
            </w:r>
            <w:proofErr w:type="spellStart"/>
            <w:r w:rsidRPr="00C618B3">
              <w:rPr>
                <w:rFonts w:ascii="Garamond" w:hAnsi="Garamond" w:eastAsia="Times New Roman" w:cs="Times New Roman"/>
                <w:sz w:val="24"/>
                <w:szCs w:val="24"/>
                <w:lang w:val="en-GB" w:eastAsia="hu-HU"/>
              </w:rPr>
              <w:t>eg.</w:t>
            </w:r>
            <w:proofErr w:type="spellEnd"/>
            <w:r w:rsidRPr="00C618B3">
              <w:rPr>
                <w:rFonts w:ascii="Garamond" w:hAnsi="Garamond" w:eastAsia="Times New Roman" w:cs="Times New Roman"/>
                <w:sz w:val="24"/>
                <w:szCs w:val="24"/>
                <w:lang w:val="en-GB" w:eastAsia="hu-HU"/>
              </w:rPr>
              <w:t xml:space="preserve"> textbook) with bibliographic details (author, title, details of edition, pages, ISBN)</w:t>
            </w:r>
          </w:p>
        </w:tc>
      </w:tr>
      <w:tr w:rsidRPr="00C618B3" w:rsidR="00CB0141" w:rsidTr="05027136" w14:paraId="07EBAE31" w14:textId="77777777">
        <w:tc>
          <w:tcPr>
            <w:tcW w:w="8954" w:type="dxa"/>
            <w:gridSpan w:val="2"/>
            <w:shd w:val="clear" w:color="auto" w:fill="auto"/>
            <w:tcMar>
              <w:top w:w="57" w:type="dxa"/>
              <w:bottom w:w="57" w:type="dxa"/>
            </w:tcMar>
            <w:vAlign w:val="center"/>
          </w:tcPr>
          <w:p w:rsidRPr="00C618B3" w:rsidR="00CB0141" w:rsidP="009E3D7D" w:rsidRDefault="00CB0141" w14:paraId="2EC55074" w14:textId="77777777">
            <w:pPr>
              <w:spacing w:after="0" w:line="240" w:lineRule="auto"/>
              <w:rPr>
                <w:rFonts w:ascii="Garamond" w:hAnsi="Garamond" w:eastAsia="Times New Roman" w:cs="Times New Roman"/>
                <w:sz w:val="24"/>
                <w:szCs w:val="24"/>
                <w:lang w:val="en-GB" w:eastAsia="hu-HU"/>
              </w:rPr>
            </w:pPr>
            <w:r w:rsidRPr="00C618B3">
              <w:rPr>
                <w:rFonts w:ascii="Garamond" w:hAnsi="Garamond" w:eastAsia="Times New Roman" w:cs="Times New Roman"/>
                <w:i/>
                <w:sz w:val="24"/>
                <w:szCs w:val="24"/>
                <w:u w:val="single"/>
                <w:lang w:val="en-GB" w:eastAsia="hu-HU"/>
              </w:rPr>
              <w:t>Required readings</w:t>
            </w:r>
            <w:r w:rsidRPr="00C618B3">
              <w:rPr>
                <w:rFonts w:ascii="Garamond" w:hAnsi="Garamond" w:eastAsia="Times New Roman" w:cs="Times New Roman"/>
                <w:sz w:val="24"/>
                <w:szCs w:val="24"/>
                <w:lang w:val="en-GB" w:eastAsia="hu-HU"/>
              </w:rPr>
              <w:t>:</w:t>
            </w:r>
          </w:p>
          <w:p w:rsidRPr="00C618B3" w:rsidR="00CB0141" w:rsidP="00CB0141" w:rsidRDefault="00CB0141" w14:paraId="62AC2F0E" w14:textId="77777777">
            <w:pPr>
              <w:numPr>
                <w:ilvl w:val="0"/>
                <w:numId w:val="2"/>
              </w:numPr>
              <w:spacing w:after="0" w:line="244" w:lineRule="atLeast"/>
              <w:rPr>
                <w:rFonts w:ascii="Garamond" w:hAnsi="Garamond" w:eastAsia="Times New Roman" w:cs="Times New Roman"/>
                <w:sz w:val="24"/>
                <w:szCs w:val="24"/>
                <w:u w:val="single"/>
                <w:shd w:val="clear" w:color="auto" w:fill="FFFFFF"/>
                <w:lang w:eastAsia="hu-HU"/>
              </w:rPr>
            </w:pPr>
            <w:proofErr w:type="spellStart"/>
            <w:r w:rsidRPr="00C618B3">
              <w:rPr>
                <w:rFonts w:ascii="Garamond" w:hAnsi="Garamond" w:eastAsia="Times New Roman" w:cs="Times New Roman"/>
                <w:sz w:val="24"/>
                <w:szCs w:val="24"/>
                <w:lang w:eastAsia="hu-HU"/>
              </w:rPr>
              <w:t>Seligman</w:t>
            </w:r>
            <w:proofErr w:type="spellEnd"/>
            <w:r w:rsidRPr="00C618B3">
              <w:rPr>
                <w:rFonts w:ascii="Garamond" w:hAnsi="Garamond" w:eastAsia="Times New Roman" w:cs="Times New Roman"/>
                <w:sz w:val="24"/>
                <w:szCs w:val="24"/>
                <w:lang w:eastAsia="hu-HU"/>
              </w:rPr>
              <w:t xml:space="preserve">, Linda (2004): </w:t>
            </w:r>
            <w:proofErr w:type="spellStart"/>
            <w:r w:rsidRPr="00C618B3">
              <w:rPr>
                <w:rFonts w:ascii="Garamond" w:hAnsi="Garamond" w:eastAsia="Times New Roman" w:cs="Times New Roman"/>
                <w:sz w:val="24"/>
                <w:szCs w:val="24"/>
                <w:lang w:eastAsia="hu-HU"/>
              </w:rPr>
              <w:t>Diagnosis</w:t>
            </w:r>
            <w:proofErr w:type="spellEnd"/>
            <w:r w:rsidRPr="00C618B3">
              <w:rPr>
                <w:rFonts w:ascii="Garamond" w:hAnsi="Garamond" w:eastAsia="Times New Roman" w:cs="Times New Roman"/>
                <w:sz w:val="24"/>
                <w:szCs w:val="24"/>
                <w:lang w:eastAsia="hu-HU"/>
              </w:rPr>
              <w:t xml:space="preserve"> and </w:t>
            </w:r>
            <w:proofErr w:type="spellStart"/>
            <w:r w:rsidRPr="00C618B3">
              <w:rPr>
                <w:rFonts w:ascii="Garamond" w:hAnsi="Garamond" w:eastAsia="Times New Roman" w:cs="Times New Roman"/>
                <w:sz w:val="24"/>
                <w:szCs w:val="24"/>
                <w:lang w:eastAsia="hu-HU"/>
              </w:rPr>
              <w:t>treatment</w:t>
            </w:r>
            <w:proofErr w:type="spellEnd"/>
            <w:r w:rsidRPr="00C618B3">
              <w:rPr>
                <w:rFonts w:ascii="Garamond" w:hAnsi="Garamond" w:eastAsia="Times New Roman" w:cs="Times New Roman"/>
                <w:sz w:val="24"/>
                <w:szCs w:val="24"/>
                <w:lang w:eastAsia="hu-HU"/>
              </w:rPr>
              <w:t xml:space="preserve"> </w:t>
            </w:r>
            <w:proofErr w:type="spellStart"/>
            <w:r w:rsidRPr="00C618B3">
              <w:rPr>
                <w:rFonts w:ascii="Garamond" w:hAnsi="Garamond" w:eastAsia="Times New Roman" w:cs="Times New Roman"/>
                <w:sz w:val="24"/>
                <w:szCs w:val="24"/>
                <w:lang w:eastAsia="hu-HU"/>
              </w:rPr>
              <w:t>planning</w:t>
            </w:r>
            <w:proofErr w:type="spellEnd"/>
            <w:r w:rsidRPr="00C618B3">
              <w:rPr>
                <w:rFonts w:ascii="Garamond" w:hAnsi="Garamond" w:eastAsia="Times New Roman" w:cs="Times New Roman"/>
                <w:sz w:val="24"/>
                <w:szCs w:val="24"/>
                <w:lang w:eastAsia="hu-HU"/>
              </w:rPr>
              <w:t xml:space="preserve"> in </w:t>
            </w:r>
            <w:proofErr w:type="spellStart"/>
            <w:r w:rsidRPr="00C618B3">
              <w:rPr>
                <w:rFonts w:ascii="Garamond" w:hAnsi="Garamond" w:eastAsia="Times New Roman" w:cs="Times New Roman"/>
                <w:sz w:val="24"/>
                <w:szCs w:val="24"/>
                <w:lang w:eastAsia="hu-HU"/>
              </w:rPr>
              <w:t>counselling</w:t>
            </w:r>
            <w:proofErr w:type="spellEnd"/>
            <w:r w:rsidRPr="00C618B3">
              <w:rPr>
                <w:rFonts w:ascii="Garamond" w:hAnsi="Garamond" w:eastAsia="Times New Roman" w:cs="Times New Roman"/>
                <w:sz w:val="24"/>
                <w:szCs w:val="24"/>
                <w:lang w:eastAsia="hu-HU"/>
              </w:rPr>
              <w:t xml:space="preserve">. </w:t>
            </w:r>
            <w:r w:rsidRPr="00C618B3">
              <w:rPr>
                <w:rFonts w:ascii="Garamond" w:hAnsi="Garamond" w:eastAsia="Times New Roman" w:cs="Times New Roman"/>
                <w:sz w:val="24"/>
                <w:szCs w:val="24"/>
                <w:shd w:val="clear" w:color="auto" w:fill="FFFFFF"/>
                <w:lang w:eastAsia="hu-HU"/>
              </w:rPr>
              <w:t>Springer, 978-0306484728</w:t>
            </w:r>
            <w:r w:rsidRPr="00C618B3">
              <w:rPr>
                <w:rFonts w:ascii="Garamond" w:hAnsi="Garamond" w:eastAsia="Times New Roman" w:cs="Times New Roman"/>
                <w:sz w:val="24"/>
                <w:szCs w:val="24"/>
                <w:lang w:eastAsia="hu-HU"/>
              </w:rPr>
              <w:fldChar w:fldCharType="begin"/>
            </w:r>
            <w:r w:rsidRPr="00C618B3">
              <w:rPr>
                <w:rFonts w:ascii="Garamond" w:hAnsi="Garamond" w:eastAsia="Times New Roman" w:cs="Times New Roman"/>
                <w:sz w:val="24"/>
                <w:szCs w:val="24"/>
                <w:lang w:eastAsia="hu-HU"/>
              </w:rPr>
              <w:instrText xml:space="preserve"> HYPERLINK "http://www.amazon.com/Diagnosis-Treatment-Planning-Counseling-Seligman-ebook/dp/B000SEVYC6/ref=sr_1_1?ie=UTF8&amp;qid=1448847988&amp;sr=8-1&amp;keywords=diagnosis+in+counseling" \o "Diagnosis and Treatment Planning in Counseling" </w:instrText>
            </w:r>
            <w:r w:rsidRPr="00C618B3">
              <w:rPr>
                <w:rFonts w:ascii="Garamond" w:hAnsi="Garamond" w:eastAsia="Times New Roman" w:cs="Times New Roman"/>
                <w:sz w:val="24"/>
                <w:szCs w:val="24"/>
                <w:lang w:eastAsia="hu-HU"/>
              </w:rPr>
              <w:fldChar w:fldCharType="separate"/>
            </w:r>
          </w:p>
          <w:p w:rsidRPr="00C618B3" w:rsidR="00CB0141" w:rsidP="00CB0141" w:rsidRDefault="00CB0141" w14:paraId="02961FC7" w14:textId="77777777">
            <w:pPr>
              <w:numPr>
                <w:ilvl w:val="0"/>
                <w:numId w:val="1"/>
              </w:numPr>
              <w:shd w:val="clear" w:color="auto" w:fill="FFFFFF"/>
              <w:spacing w:after="0" w:line="240" w:lineRule="auto"/>
              <w:rPr>
                <w:rFonts w:ascii="Garamond" w:hAnsi="Garamond" w:eastAsia="Times New Roman" w:cs="Times New Roman"/>
                <w:sz w:val="24"/>
                <w:szCs w:val="24"/>
                <w:lang w:val="en-GB" w:eastAsia="hu-HU"/>
              </w:rPr>
            </w:pPr>
            <w:r w:rsidRPr="00C618B3">
              <w:rPr>
                <w:rFonts w:ascii="Garamond" w:hAnsi="Garamond" w:eastAsia="Times New Roman" w:cs="Times New Roman"/>
                <w:sz w:val="24"/>
                <w:szCs w:val="24"/>
                <w:lang w:eastAsia="hu-HU"/>
              </w:rPr>
              <w:fldChar w:fldCharType="end"/>
            </w:r>
            <w:r w:rsidRPr="00C618B3">
              <w:rPr>
                <w:rFonts w:ascii="Garamond" w:hAnsi="Garamond" w:eastAsia="Times New Roman" w:cs="Times New Roman"/>
                <w:sz w:val="24"/>
                <w:szCs w:val="24"/>
                <w:shd w:val="clear" w:color="auto" w:fill="FFFFFF"/>
                <w:lang w:eastAsia="hu-HU"/>
              </w:rPr>
              <w:t xml:space="preserve"> </w:t>
            </w:r>
            <w:proofErr w:type="spellStart"/>
            <w:r w:rsidRPr="00C618B3">
              <w:rPr>
                <w:rFonts w:ascii="Garamond" w:hAnsi="Garamond" w:eastAsia="Times New Roman" w:cs="Times New Roman"/>
                <w:sz w:val="24"/>
                <w:szCs w:val="24"/>
                <w:shd w:val="clear" w:color="auto" w:fill="FFFFFF"/>
                <w:lang w:eastAsia="hu-HU"/>
              </w:rPr>
              <w:t>Egan</w:t>
            </w:r>
            <w:proofErr w:type="spellEnd"/>
            <w:r w:rsidRPr="00C618B3">
              <w:rPr>
                <w:rFonts w:ascii="Garamond" w:hAnsi="Garamond" w:eastAsia="Times New Roman" w:cs="Times New Roman"/>
                <w:sz w:val="24"/>
                <w:szCs w:val="24"/>
                <w:shd w:val="clear" w:color="auto" w:fill="FFFFFF"/>
                <w:lang w:eastAsia="hu-HU"/>
              </w:rPr>
              <w:t xml:space="preserve">, G. (2014): The </w:t>
            </w:r>
            <w:proofErr w:type="spellStart"/>
            <w:r w:rsidRPr="00C618B3">
              <w:rPr>
                <w:rFonts w:ascii="Garamond" w:hAnsi="Garamond" w:eastAsia="Times New Roman" w:cs="Times New Roman"/>
                <w:sz w:val="24"/>
                <w:szCs w:val="24"/>
                <w:shd w:val="clear" w:color="auto" w:fill="FFFFFF"/>
                <w:lang w:eastAsia="hu-HU"/>
              </w:rPr>
              <w:t>skilled</w:t>
            </w:r>
            <w:proofErr w:type="spellEnd"/>
            <w:r w:rsidRPr="00C618B3">
              <w:rPr>
                <w:rFonts w:ascii="Garamond" w:hAnsi="Garamond" w:eastAsia="Times New Roman" w:cs="Times New Roman"/>
                <w:sz w:val="24"/>
                <w:szCs w:val="24"/>
                <w:shd w:val="clear" w:color="auto" w:fill="FFFFFF"/>
                <w:lang w:eastAsia="hu-HU"/>
              </w:rPr>
              <w:t xml:space="preserve"> </w:t>
            </w:r>
            <w:proofErr w:type="spellStart"/>
            <w:r w:rsidRPr="00C618B3">
              <w:rPr>
                <w:rFonts w:ascii="Garamond" w:hAnsi="Garamond" w:eastAsia="Times New Roman" w:cs="Times New Roman"/>
                <w:sz w:val="24"/>
                <w:szCs w:val="24"/>
                <w:shd w:val="clear" w:color="auto" w:fill="FFFFFF"/>
                <w:lang w:eastAsia="hu-HU"/>
              </w:rPr>
              <w:t>helper</w:t>
            </w:r>
            <w:proofErr w:type="spellEnd"/>
            <w:r w:rsidRPr="00C618B3">
              <w:rPr>
                <w:rFonts w:ascii="Garamond" w:hAnsi="Garamond" w:eastAsia="Times New Roman" w:cs="Times New Roman"/>
                <w:sz w:val="24"/>
                <w:szCs w:val="24"/>
                <w:shd w:val="clear" w:color="auto" w:fill="FFFFFF"/>
                <w:lang w:eastAsia="hu-HU"/>
              </w:rPr>
              <w:t xml:space="preserve">: a </w:t>
            </w:r>
            <w:proofErr w:type="spellStart"/>
            <w:r w:rsidRPr="00C618B3">
              <w:rPr>
                <w:rFonts w:ascii="Garamond" w:hAnsi="Garamond" w:eastAsia="Times New Roman" w:cs="Times New Roman"/>
                <w:sz w:val="24"/>
                <w:szCs w:val="24"/>
                <w:shd w:val="clear" w:color="auto" w:fill="FFFFFF"/>
                <w:lang w:eastAsia="hu-HU"/>
              </w:rPr>
              <w:t>problem</w:t>
            </w:r>
            <w:proofErr w:type="spellEnd"/>
            <w:r w:rsidRPr="00C618B3">
              <w:rPr>
                <w:rFonts w:ascii="Garamond" w:hAnsi="Garamond" w:eastAsia="Times New Roman" w:cs="Times New Roman"/>
                <w:sz w:val="24"/>
                <w:szCs w:val="24"/>
                <w:shd w:val="clear" w:color="auto" w:fill="FFFFFF"/>
                <w:lang w:eastAsia="hu-HU"/>
              </w:rPr>
              <w:t xml:space="preserve">-management and </w:t>
            </w:r>
            <w:proofErr w:type="spellStart"/>
            <w:r w:rsidRPr="00C618B3">
              <w:rPr>
                <w:rFonts w:ascii="Garamond" w:hAnsi="Garamond" w:eastAsia="Times New Roman" w:cs="Times New Roman"/>
                <w:sz w:val="24"/>
                <w:szCs w:val="24"/>
                <w:shd w:val="clear" w:color="auto" w:fill="FFFFFF"/>
                <w:lang w:eastAsia="hu-HU"/>
              </w:rPr>
              <w:t>opportunity-development</w:t>
            </w:r>
            <w:proofErr w:type="spellEnd"/>
            <w:r w:rsidRPr="00C618B3">
              <w:rPr>
                <w:rFonts w:ascii="Garamond" w:hAnsi="Garamond" w:eastAsia="Times New Roman" w:cs="Times New Roman"/>
                <w:sz w:val="24"/>
                <w:szCs w:val="24"/>
                <w:shd w:val="clear" w:color="auto" w:fill="FFFFFF"/>
                <w:lang w:eastAsia="hu-HU"/>
              </w:rPr>
              <w:t xml:space="preserve"> </w:t>
            </w:r>
            <w:proofErr w:type="spellStart"/>
            <w:r w:rsidRPr="00C618B3">
              <w:rPr>
                <w:rFonts w:ascii="Garamond" w:hAnsi="Garamond" w:eastAsia="Times New Roman" w:cs="Times New Roman"/>
                <w:sz w:val="24"/>
                <w:szCs w:val="24"/>
                <w:shd w:val="clear" w:color="auto" w:fill="FFFFFF"/>
                <w:lang w:eastAsia="hu-HU"/>
              </w:rPr>
              <w:t>approach</w:t>
            </w:r>
            <w:proofErr w:type="spellEnd"/>
            <w:r w:rsidRPr="00C618B3">
              <w:rPr>
                <w:rFonts w:ascii="Garamond" w:hAnsi="Garamond" w:eastAsia="Times New Roman" w:cs="Times New Roman"/>
                <w:sz w:val="24"/>
                <w:szCs w:val="24"/>
                <w:shd w:val="clear" w:color="auto" w:fill="FFFFFF"/>
                <w:lang w:eastAsia="hu-HU"/>
              </w:rPr>
              <w:t xml:space="preserve"> </w:t>
            </w:r>
            <w:proofErr w:type="spellStart"/>
            <w:r w:rsidRPr="00C618B3">
              <w:rPr>
                <w:rFonts w:ascii="Garamond" w:hAnsi="Garamond" w:eastAsia="Times New Roman" w:cs="Times New Roman"/>
                <w:sz w:val="24"/>
                <w:szCs w:val="24"/>
                <w:shd w:val="clear" w:color="auto" w:fill="FFFFFF"/>
                <w:lang w:eastAsia="hu-HU"/>
              </w:rPr>
              <w:t>to</w:t>
            </w:r>
            <w:proofErr w:type="spellEnd"/>
            <w:r w:rsidRPr="00C618B3">
              <w:rPr>
                <w:rFonts w:ascii="Garamond" w:hAnsi="Garamond" w:eastAsia="Times New Roman" w:cs="Times New Roman"/>
                <w:sz w:val="24"/>
                <w:szCs w:val="24"/>
                <w:shd w:val="clear" w:color="auto" w:fill="FFFFFF"/>
                <w:lang w:eastAsia="hu-HU"/>
              </w:rPr>
              <w:t xml:space="preserve"> </w:t>
            </w:r>
            <w:proofErr w:type="spellStart"/>
            <w:r w:rsidRPr="00C618B3">
              <w:rPr>
                <w:rFonts w:ascii="Garamond" w:hAnsi="Garamond" w:eastAsia="Times New Roman" w:cs="Times New Roman"/>
                <w:sz w:val="24"/>
                <w:szCs w:val="24"/>
                <w:shd w:val="clear" w:color="auto" w:fill="FFFFFF"/>
                <w:lang w:eastAsia="hu-HU"/>
              </w:rPr>
              <w:t>helping</w:t>
            </w:r>
            <w:proofErr w:type="spellEnd"/>
            <w:r w:rsidRPr="00C618B3">
              <w:rPr>
                <w:rFonts w:ascii="Garamond" w:hAnsi="Garamond" w:eastAsia="Times New Roman" w:cs="Times New Roman"/>
                <w:sz w:val="24"/>
                <w:szCs w:val="24"/>
                <w:shd w:val="clear" w:color="auto" w:fill="FFFFFF"/>
                <w:lang w:eastAsia="hu-HU"/>
              </w:rPr>
              <w:t xml:space="preserve">. Brooks/Cole, </w:t>
            </w:r>
            <w:proofErr w:type="spellStart"/>
            <w:r w:rsidRPr="00C618B3">
              <w:rPr>
                <w:rFonts w:ascii="Garamond" w:hAnsi="Garamond" w:eastAsia="Times New Roman" w:cs="Times New Roman"/>
                <w:sz w:val="24"/>
                <w:szCs w:val="24"/>
                <w:shd w:val="clear" w:color="auto" w:fill="FFFFFF"/>
                <w:lang w:eastAsia="hu-HU"/>
              </w:rPr>
              <w:t>Cangage</w:t>
            </w:r>
            <w:proofErr w:type="spellEnd"/>
            <w:r w:rsidRPr="00C618B3">
              <w:rPr>
                <w:rFonts w:ascii="Garamond" w:hAnsi="Garamond" w:eastAsia="Times New Roman" w:cs="Times New Roman"/>
                <w:sz w:val="24"/>
                <w:szCs w:val="24"/>
                <w:shd w:val="clear" w:color="auto" w:fill="FFFFFF"/>
                <w:lang w:eastAsia="hu-HU"/>
              </w:rPr>
              <w:t xml:space="preserve"> </w:t>
            </w:r>
            <w:proofErr w:type="spellStart"/>
            <w:r w:rsidRPr="00C618B3">
              <w:rPr>
                <w:rFonts w:ascii="Garamond" w:hAnsi="Garamond" w:eastAsia="Times New Roman" w:cs="Times New Roman"/>
                <w:sz w:val="24"/>
                <w:szCs w:val="24"/>
                <w:shd w:val="clear" w:color="auto" w:fill="FFFFFF"/>
                <w:lang w:eastAsia="hu-HU"/>
              </w:rPr>
              <w:t>Learning</w:t>
            </w:r>
            <w:proofErr w:type="spellEnd"/>
            <w:r w:rsidRPr="00C618B3">
              <w:rPr>
                <w:rFonts w:ascii="Garamond" w:hAnsi="Garamond" w:eastAsia="Times New Roman" w:cs="Times New Roman"/>
                <w:sz w:val="24"/>
                <w:szCs w:val="24"/>
                <w:shd w:val="clear" w:color="auto" w:fill="FFFFFF"/>
                <w:lang w:eastAsia="hu-HU"/>
              </w:rPr>
              <w:t>, ISBN: 978-1-285-06571-7</w:t>
            </w:r>
          </w:p>
          <w:p w:rsidRPr="00C618B3" w:rsidR="00CB0141" w:rsidP="009E3D7D" w:rsidRDefault="00CB0141" w14:paraId="544DDA27" w14:textId="77777777">
            <w:pPr>
              <w:spacing w:after="0" w:line="240" w:lineRule="auto"/>
              <w:rPr>
                <w:rFonts w:ascii="Garamond" w:hAnsi="Garamond" w:eastAsia="Times New Roman" w:cs="Times New Roman"/>
                <w:sz w:val="24"/>
                <w:szCs w:val="24"/>
                <w:lang w:val="en-GB" w:eastAsia="hu-HU"/>
              </w:rPr>
            </w:pPr>
            <w:r w:rsidRPr="00C618B3">
              <w:rPr>
                <w:rFonts w:ascii="Garamond" w:hAnsi="Garamond" w:eastAsia="Times New Roman" w:cs="Times New Roman"/>
                <w:i/>
                <w:sz w:val="24"/>
                <w:szCs w:val="24"/>
                <w:u w:val="single"/>
                <w:lang w:val="en-GB" w:eastAsia="hu-HU"/>
              </w:rPr>
              <w:t>Suggested readings</w:t>
            </w:r>
            <w:r w:rsidRPr="00C618B3">
              <w:rPr>
                <w:rFonts w:ascii="Garamond" w:hAnsi="Garamond" w:eastAsia="Times New Roman" w:cs="Times New Roman"/>
                <w:sz w:val="24"/>
                <w:szCs w:val="24"/>
                <w:lang w:val="en-GB" w:eastAsia="hu-HU"/>
              </w:rPr>
              <w:t>:</w:t>
            </w:r>
          </w:p>
          <w:p w:rsidRPr="00C618B3" w:rsidR="00CB0141" w:rsidP="00CB0141" w:rsidRDefault="00CB0141" w14:paraId="49B6E13D" w14:textId="77777777">
            <w:pPr>
              <w:numPr>
                <w:ilvl w:val="0"/>
                <w:numId w:val="1"/>
              </w:numPr>
              <w:spacing w:after="0" w:line="240" w:lineRule="auto"/>
              <w:rPr>
                <w:rFonts w:ascii="Garamond" w:hAnsi="Garamond" w:eastAsia="Times New Roman" w:cs="Times New Roman"/>
                <w:sz w:val="24"/>
                <w:szCs w:val="24"/>
                <w:lang w:val="en-GB" w:eastAsia="hu-HU"/>
              </w:rPr>
            </w:pPr>
            <w:r w:rsidRPr="00C618B3">
              <w:rPr>
                <w:rFonts w:ascii="Garamond" w:hAnsi="Garamond" w:eastAsia="Times New Roman" w:cs="Times New Roman"/>
                <w:sz w:val="24"/>
                <w:szCs w:val="24"/>
                <w:shd w:val="clear" w:color="auto" w:fill="FFFFFF"/>
                <w:lang w:eastAsia="hu-HU"/>
              </w:rPr>
              <w:t xml:space="preserve">Holland, </w:t>
            </w:r>
            <w:proofErr w:type="spellStart"/>
            <w:r w:rsidRPr="00C618B3">
              <w:rPr>
                <w:rFonts w:ascii="Garamond" w:hAnsi="Garamond" w:eastAsia="Times New Roman" w:cs="Times New Roman"/>
                <w:sz w:val="24"/>
                <w:szCs w:val="24"/>
                <w:shd w:val="clear" w:color="auto" w:fill="FFFFFF"/>
                <w:lang w:eastAsia="hu-HU"/>
              </w:rPr>
              <w:t>Audrey</w:t>
            </w:r>
            <w:proofErr w:type="spellEnd"/>
            <w:r w:rsidRPr="00C618B3">
              <w:rPr>
                <w:rFonts w:ascii="Garamond" w:hAnsi="Garamond" w:eastAsia="Times New Roman" w:cs="Times New Roman"/>
                <w:sz w:val="24"/>
                <w:szCs w:val="24"/>
                <w:shd w:val="clear" w:color="auto" w:fill="FFFFFF"/>
                <w:lang w:eastAsia="hu-HU"/>
              </w:rPr>
              <w:t xml:space="preserve"> L. (2007): </w:t>
            </w:r>
            <w:proofErr w:type="spellStart"/>
            <w:r w:rsidRPr="00C618B3">
              <w:rPr>
                <w:rFonts w:ascii="Garamond" w:hAnsi="Garamond" w:eastAsia="Times New Roman" w:cs="Times New Roman"/>
                <w:sz w:val="24"/>
                <w:szCs w:val="24"/>
                <w:shd w:val="clear" w:color="auto" w:fill="FFFFFF"/>
                <w:lang w:eastAsia="hu-HU"/>
              </w:rPr>
              <w:t>Counselling</w:t>
            </w:r>
            <w:proofErr w:type="spellEnd"/>
            <w:r w:rsidRPr="00C618B3">
              <w:rPr>
                <w:rFonts w:ascii="Garamond" w:hAnsi="Garamond" w:eastAsia="Times New Roman" w:cs="Times New Roman"/>
                <w:sz w:val="24"/>
                <w:szCs w:val="24"/>
                <w:shd w:val="clear" w:color="auto" w:fill="FFFFFF"/>
                <w:lang w:eastAsia="hu-HU"/>
              </w:rPr>
              <w:t xml:space="preserve"> in </w:t>
            </w:r>
            <w:proofErr w:type="spellStart"/>
            <w:r w:rsidRPr="00C618B3">
              <w:rPr>
                <w:rFonts w:ascii="Garamond" w:hAnsi="Garamond" w:eastAsia="Times New Roman" w:cs="Times New Roman"/>
                <w:sz w:val="24"/>
                <w:szCs w:val="24"/>
                <w:shd w:val="clear" w:color="auto" w:fill="FFFFFF"/>
                <w:lang w:eastAsia="hu-HU"/>
              </w:rPr>
              <w:t>communication</w:t>
            </w:r>
            <w:proofErr w:type="spellEnd"/>
            <w:r w:rsidRPr="00C618B3">
              <w:rPr>
                <w:rFonts w:ascii="Garamond" w:hAnsi="Garamond" w:eastAsia="Times New Roman" w:cs="Times New Roman"/>
                <w:sz w:val="24"/>
                <w:szCs w:val="24"/>
                <w:shd w:val="clear" w:color="auto" w:fill="FFFFFF"/>
                <w:lang w:eastAsia="hu-HU"/>
              </w:rPr>
              <w:t xml:space="preserve"> </w:t>
            </w:r>
            <w:proofErr w:type="spellStart"/>
            <w:r w:rsidRPr="00C618B3">
              <w:rPr>
                <w:rFonts w:ascii="Garamond" w:hAnsi="Garamond" w:eastAsia="Times New Roman" w:cs="Times New Roman"/>
                <w:sz w:val="24"/>
                <w:szCs w:val="24"/>
                <w:shd w:val="clear" w:color="auto" w:fill="FFFFFF"/>
                <w:lang w:eastAsia="hu-HU"/>
              </w:rPr>
              <w:t>disorders</w:t>
            </w:r>
            <w:proofErr w:type="spellEnd"/>
            <w:r w:rsidRPr="00C618B3">
              <w:rPr>
                <w:rFonts w:ascii="Garamond" w:hAnsi="Garamond" w:eastAsia="Times New Roman" w:cs="Times New Roman"/>
                <w:sz w:val="24"/>
                <w:szCs w:val="24"/>
                <w:shd w:val="clear" w:color="auto" w:fill="FFFFFF"/>
                <w:lang w:eastAsia="hu-HU"/>
              </w:rPr>
              <w:t xml:space="preserve">: A Wellness </w:t>
            </w:r>
            <w:proofErr w:type="spellStart"/>
            <w:r w:rsidRPr="00C618B3">
              <w:rPr>
                <w:rFonts w:ascii="Garamond" w:hAnsi="Garamond" w:eastAsia="Times New Roman" w:cs="Times New Roman"/>
                <w:sz w:val="24"/>
                <w:szCs w:val="24"/>
                <w:shd w:val="clear" w:color="auto" w:fill="FFFFFF"/>
                <w:lang w:eastAsia="hu-HU"/>
              </w:rPr>
              <w:t>perspective</w:t>
            </w:r>
            <w:proofErr w:type="spellEnd"/>
            <w:r w:rsidRPr="00C618B3">
              <w:rPr>
                <w:rFonts w:ascii="Garamond" w:hAnsi="Garamond" w:eastAsia="Times New Roman" w:cs="Times New Roman"/>
                <w:sz w:val="24"/>
                <w:szCs w:val="24"/>
                <w:shd w:val="clear" w:color="auto" w:fill="FFFFFF"/>
                <w:lang w:eastAsia="hu-HU"/>
              </w:rPr>
              <w:t xml:space="preserve">. </w:t>
            </w:r>
            <w:proofErr w:type="spellStart"/>
            <w:r w:rsidRPr="00C618B3">
              <w:rPr>
                <w:rFonts w:ascii="Garamond" w:hAnsi="Garamond" w:eastAsia="Times New Roman" w:cs="Times New Roman"/>
                <w:sz w:val="24"/>
                <w:szCs w:val="24"/>
                <w:shd w:val="clear" w:color="auto" w:fill="FFFFFF"/>
                <w:lang w:eastAsia="hu-HU"/>
              </w:rPr>
              <w:t>Plural</w:t>
            </w:r>
            <w:proofErr w:type="spellEnd"/>
            <w:r w:rsidRPr="00C618B3">
              <w:rPr>
                <w:rFonts w:ascii="Garamond" w:hAnsi="Garamond" w:eastAsia="Times New Roman" w:cs="Times New Roman"/>
                <w:sz w:val="24"/>
                <w:szCs w:val="24"/>
                <w:shd w:val="clear" w:color="auto" w:fill="FFFFFF"/>
                <w:lang w:eastAsia="hu-HU"/>
              </w:rPr>
              <w:t xml:space="preserve"> Publishing Inc., ISBN: 978-1597560498</w:t>
            </w:r>
          </w:p>
        </w:tc>
      </w:tr>
    </w:tbl>
    <w:p w:rsidR="00096081" w:rsidRDefault="00096081" w14:paraId="73CD5B0F" w14:textId="77777777"/>
    <w:sectPr w:rsidR="0009608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C6087"/>
    <w:multiLevelType w:val="hybridMultilevel"/>
    <w:tmpl w:val="ACDC05F6"/>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15:restartNumberingAfterBreak="0">
    <w:nsid w:val="706F25A1"/>
    <w:multiLevelType w:val="hybridMultilevel"/>
    <w:tmpl w:val="6B18E3B8"/>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41"/>
    <w:rsid w:val="00096081"/>
    <w:rsid w:val="00CB0141"/>
    <w:rsid w:val="05027136"/>
    <w:rsid w:val="0A85DD4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6A95"/>
  <w15:chartTrackingRefBased/>
  <w15:docId w15:val="{E47F93FE-3E24-4DF3-99B1-96E2039F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hu-H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CB0141"/>
    <w:rPr>
      <w:rFonts w:eastAsiaTheme="minorHAnsi"/>
      <w:lang w:eastAsia="en-US"/>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Oszlánszki Ildikó</dc:creator>
  <keywords/>
  <dc:description/>
  <lastModifiedBy>Oszlánszki Ildikó</lastModifiedBy>
  <revision>2</revision>
  <dcterms:created xsi:type="dcterms:W3CDTF">2021-05-13T10:52:00.0000000Z</dcterms:created>
  <dcterms:modified xsi:type="dcterms:W3CDTF">2022-05-16T10:03:46.6850689Z</dcterms:modified>
</coreProperties>
</file>